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9.odttf" ContentType="application/vnd.openxmlformats-officedocument.obfuscatedFont"/>
  <Override PartName="/word/fonts/font18.odttf" ContentType="application/vnd.openxmlformats-officedocument.obfuscatedFont"/>
  <Override PartName="/word/fonts/font3.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keepNext w:val="false"/>
        <w:keepLines w:val="false"/>
        <w:widowControl w:val="false"/>
        <w:pBdr/>
        <w:shd w:fill="FFFFFF" w:val="clear"/>
        <w:tabs>
          <w:tab w:val="clear" w:pos="720"/>
          <w:tab w:val="left" w:pos="9300" w:leader="none"/>
        </w:tabs>
        <w:suppressAutoHyphens w:val="true"/>
        <w:bidi w:val="0"/>
        <w:spacing w:lineRule="auto" w:line="360" w:before="113" w:after="227"/>
        <w:ind w:left="0" w:right="0" w:firstLine="227"/>
        <w:jc w:val="left"/>
        <w:rPr>
          <w:rFonts w:ascii="TestMeSerif02" w:hAnsi="TestMeSerif02"/>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 xml:space="preserve">Il decreto Ministeriale n. 63 e la circolare prot. 958 del 5 aprile 2023 prevedono che le scuole, a partire dal 17 aprile 2023, individuino le figure dei docenti </w:t>
      </w:r>
      <w:r>
        <w:rPr>
          <w:rFonts w:eastAsia="Times New Roman" w:cs="Times New Roman" w:ascii="TestMeSerif02" w:hAnsi="TestMeSerif02"/>
          <w:b w:val="false"/>
          <w:i/>
          <w:iCs/>
          <w:caps w:val="false"/>
          <w:smallCaps w:val="false"/>
          <w:strike w:val="false"/>
          <w:dstrike w:val="false"/>
          <w:color w:val="000000"/>
          <w:position w:val="0"/>
          <w:sz w:val="24"/>
          <w:sz w:val="24"/>
          <w:szCs w:val="24"/>
          <w:u w:val="none"/>
          <w:vertAlign w:val="baseline"/>
        </w:rPr>
        <w:t>tutor</w:t>
      </w: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 xml:space="preserve"> e </w:t>
      </w:r>
      <w:r>
        <w:rPr>
          <w:rFonts w:eastAsia="Times New Roman" w:cs="Times New Roman" w:ascii="TestMeSerif02" w:hAnsi="TestMeSerif02"/>
          <w:b w:val="false"/>
          <w:i/>
          <w:caps w:val="false"/>
          <w:smallCaps w:val="false"/>
          <w:strike w:val="false"/>
          <w:dstrike w:val="false"/>
          <w:color w:val="000000"/>
          <w:position w:val="0"/>
          <w:sz w:val="24"/>
          <w:sz w:val="24"/>
          <w:szCs w:val="24"/>
          <w:u w:val="none"/>
          <w:vertAlign w:val="baseline"/>
        </w:rPr>
        <w:t>orientatori</w:t>
      </w: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 xml:space="preserve"> interni, da attivare dall'a.s. 2023/2024.</w:t>
      </w:r>
    </w:p>
    <w:p>
      <w:pPr>
        <w:pStyle w:val="Normal"/>
        <w:keepNext w:val="false"/>
        <w:keepLines w:val="false"/>
        <w:widowControl w:val="false"/>
        <w:pBdr/>
        <w:shd w:fill="FFFFFF" w:val="clear"/>
        <w:tabs>
          <w:tab w:val="clear" w:pos="720"/>
          <w:tab w:val="left" w:pos="9300" w:leader="none"/>
        </w:tabs>
        <w:suppressAutoHyphens w:val="true"/>
        <w:bidi w:val="0"/>
        <w:spacing w:lineRule="auto" w:line="360" w:before="113" w:after="227"/>
        <w:ind w:left="0" w:right="0" w:firstLine="227"/>
        <w:jc w:val="left"/>
        <w:rPr>
          <w:rFonts w:ascii="TestMeSerif02" w:hAnsi="TestMeSerif02"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Questo provvedimento è, come si legge nella normativa, legato ai fondi del PNRR.</w:t>
      </w:r>
    </w:p>
    <w:p>
      <w:pPr>
        <w:pStyle w:val="Normal"/>
        <w:keepNext w:val="false"/>
        <w:keepLines w:val="false"/>
        <w:widowControl w:val="false"/>
        <w:pBdr/>
        <w:shd w:fill="FFFFFF" w:val="clear"/>
        <w:tabs>
          <w:tab w:val="clear" w:pos="720"/>
          <w:tab w:val="left" w:pos="9300" w:leader="none"/>
        </w:tabs>
        <w:suppressAutoHyphens w:val="true"/>
        <w:bidi w:val="0"/>
        <w:spacing w:lineRule="auto" w:line="360" w:before="113" w:after="227"/>
        <w:ind w:left="0" w:right="0" w:firstLine="227"/>
        <w:jc w:val="left"/>
        <w:rPr>
          <w:rFonts w:ascii="TestMeSerif02" w:hAnsi="TestMeSerif02"/>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Il collegio docenti</w:t>
      </w:r>
      <w:r>
        <w:rPr>
          <w:rFonts w:ascii="TestMeSerif02" w:hAnsi="TestMeSerif02"/>
          <w:sz w:val="24"/>
          <w:szCs w:val="24"/>
        </w:rPr>
        <w:t xml:space="preserve"> del…. </w:t>
      </w: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 riunitosi in data</w:t>
      </w:r>
      <w:r>
        <w:rPr>
          <w:rFonts w:ascii="TestMeSerif02" w:hAnsi="TestMeSerif02"/>
          <w:sz w:val="24"/>
          <w:szCs w:val="24"/>
        </w:rPr>
        <w:t xml:space="preserve">…. </w:t>
      </w: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2023</w:t>
      </w:r>
    </w:p>
    <w:p>
      <w:pPr>
        <w:pStyle w:val="Normal"/>
        <w:keepNext w:val="false"/>
        <w:keepLines w:val="false"/>
        <w:widowControl w:val="false"/>
        <w:pBdr/>
        <w:shd w:fill="FFFFFF" w:val="clear"/>
        <w:tabs>
          <w:tab w:val="clear" w:pos="720"/>
          <w:tab w:val="left" w:pos="9300" w:leader="none"/>
        </w:tabs>
        <w:suppressAutoHyphens w:val="true"/>
        <w:bidi w:val="0"/>
        <w:spacing w:lineRule="auto" w:line="360" w:before="113" w:after="227"/>
        <w:ind w:left="0" w:right="0" w:firstLine="227"/>
        <w:jc w:val="center"/>
        <w:rPr>
          <w:rFonts w:ascii="TestMeSerif02" w:hAnsi="TestMeSerif02"/>
          <w:b/>
          <w:b/>
          <w:bCs/>
        </w:rPr>
      </w:pPr>
      <w:r>
        <w:rPr>
          <w:rFonts w:eastAsia="Times New Roman" w:cs="Times New Roman" w:ascii="TestMeSerif02" w:hAnsi="TestMeSerif02"/>
          <w:b/>
          <w:bCs/>
          <w:i w:val="false"/>
          <w:caps w:val="false"/>
          <w:smallCaps w:val="false"/>
          <w:strike w:val="false"/>
          <w:dstrike w:val="false"/>
          <w:color w:val="000000"/>
          <w:position w:val="0"/>
          <w:sz w:val="24"/>
          <w:sz w:val="24"/>
          <w:szCs w:val="24"/>
          <w:u w:val="none"/>
          <w:vertAlign w:val="baseline"/>
        </w:rPr>
        <w:t>DICHIARA</w:t>
      </w:r>
    </w:p>
    <w:p>
      <w:pPr>
        <w:pStyle w:val="Normal"/>
        <w:keepNext w:val="false"/>
        <w:keepLines w:val="false"/>
        <w:widowControl w:val="false"/>
        <w:pBdr/>
        <w:shd w:fill="FFFFFF" w:val="clear"/>
        <w:tabs>
          <w:tab w:val="clear" w:pos="720"/>
          <w:tab w:val="left" w:pos="9300" w:leader="none"/>
        </w:tabs>
        <w:suppressAutoHyphens w:val="true"/>
        <w:bidi w:val="0"/>
        <w:spacing w:lineRule="auto" w:line="360" w:before="113" w:after="227"/>
        <w:ind w:left="0" w:right="0" w:firstLine="227"/>
        <w:jc w:val="center"/>
        <w:rPr>
          <w:rFonts w:ascii="TestMeSerif02" w:hAnsi="TestMeSerif02"/>
        </w:rPr>
      </w:pPr>
      <w:r>
        <w:rPr>
          <w:rFonts w:eastAsia="Times New Roman" w:cs="Times New Roman" w:ascii="TestMeSerif02" w:hAnsi="TestMeSerif02"/>
          <w:b/>
          <w:bCs/>
          <w:i w:val="false"/>
          <w:caps w:val="false"/>
          <w:smallCaps w:val="false"/>
          <w:strike w:val="false"/>
          <w:dstrike w:val="false"/>
          <w:color w:val="000000"/>
          <w:position w:val="0"/>
          <w:sz w:val="24"/>
          <w:sz w:val="24"/>
          <w:szCs w:val="24"/>
          <w:u w:val="none"/>
          <w:vertAlign w:val="baseline"/>
        </w:rPr>
        <w:t>la propria indisponibilità a ricoprire i ruoli richiesti dalla normativa citata</w:t>
      </w:r>
    </w:p>
    <w:p>
      <w:pPr>
        <w:pStyle w:val="Normal"/>
        <w:keepNext w:val="false"/>
        <w:keepLines w:val="false"/>
        <w:widowControl w:val="false"/>
        <w:pBdr/>
        <w:shd w:fill="FFFFFF" w:val="clear"/>
        <w:tabs>
          <w:tab w:val="clear" w:pos="720"/>
          <w:tab w:val="left" w:pos="9300" w:leader="none"/>
        </w:tabs>
        <w:suppressAutoHyphens w:val="true"/>
        <w:bidi w:val="0"/>
        <w:spacing w:lineRule="auto" w:line="360" w:before="113" w:after="227"/>
        <w:ind w:left="0" w:right="0" w:firstLine="227"/>
        <w:jc w:val="left"/>
        <w:rPr>
          <w:rFonts w:ascii="TestMeSerif02" w:hAnsi="TestMeSerif02"/>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 xml:space="preserve">per le seguenti motivazioni: </w:t>
      </w:r>
    </w:p>
    <w:p>
      <w:pPr>
        <w:pStyle w:val="Normal"/>
        <w:keepNext w:val="false"/>
        <w:keepLines w:val="false"/>
        <w:widowControl w:val="false"/>
        <w:numPr>
          <w:ilvl w:val="0"/>
          <w:numId w:val="2"/>
        </w:numPr>
        <w:pBdr/>
        <w:shd w:fill="FFFFFF" w:val="clear"/>
        <w:tabs>
          <w:tab w:val="clear" w:pos="720"/>
          <w:tab w:val="left" w:pos="9300" w:leader="none"/>
        </w:tabs>
        <w:suppressAutoHyphens w:val="true"/>
        <w:bidi w:val="0"/>
        <w:spacing w:lineRule="auto" w:line="360" w:before="113" w:after="227"/>
        <w:jc w:val="left"/>
        <w:rPr>
          <w:rFonts w:ascii="TestMeSerif02" w:hAnsi="TestMeSerif02"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le figure di tutor e orientatore rientrano all'interno di quel processo di presunta valorizzazione dei docenti che, così come istituito dalle ultime normative, mina l'unità del collegio docenti introducendo la logica della competitività tra docenti in un ambiente, la scuola appunto, che invece, in una società sempre più complessa, richiede forme di collaborazione e continuo confronto tra docenti. La scelta di svolgere queste funzioni, per ora volontaria, potrebbe essere inserita nel contratto e diventare obbligatoria, cosa per la quale il collegio esprime profonda preoccupazione e dissenso;</w:t>
      </w:r>
    </w:p>
    <w:p>
      <w:pPr>
        <w:pStyle w:val="Normal"/>
        <w:keepNext w:val="false"/>
        <w:keepLines w:val="false"/>
        <w:widowControl w:val="false"/>
        <w:numPr>
          <w:ilvl w:val="0"/>
          <w:numId w:val="2"/>
        </w:numPr>
        <w:pBdr/>
        <w:shd w:fill="FFFFFF" w:val="clear"/>
        <w:tabs>
          <w:tab w:val="clear" w:pos="720"/>
          <w:tab w:val="left" w:pos="9300" w:leader="none"/>
        </w:tabs>
        <w:suppressAutoHyphens w:val="true"/>
        <w:bidi w:val="0"/>
        <w:spacing w:lineRule="auto" w:line="360" w:before="113" w:after="227"/>
        <w:jc w:val="left"/>
        <w:rPr>
          <w:rFonts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le figure di tutor e orientatore, in nome di presunte competenze, interverranno nel lavoro dei colleghi minando la libertà di insegnamento e di valutazione e intervenendo nel rapporto con gli alunni assumendo parte dei compiti già previsti dalla funzione docente (orientamento, valutazione, personalizzazione dei percorsi, ecc.);</w:t>
      </w:r>
    </w:p>
    <w:p>
      <w:pPr>
        <w:pStyle w:val="Normal"/>
        <w:keepNext w:val="false"/>
        <w:keepLines w:val="false"/>
        <w:widowControl w:val="false"/>
        <w:numPr>
          <w:ilvl w:val="0"/>
          <w:numId w:val="2"/>
        </w:numPr>
        <w:pBdr/>
        <w:shd w:fill="FFFFFF" w:val="clear"/>
        <w:tabs>
          <w:tab w:val="clear" w:pos="720"/>
          <w:tab w:val="left" w:pos="9300" w:leader="none"/>
        </w:tabs>
        <w:suppressAutoHyphens w:val="true"/>
        <w:bidi w:val="0"/>
        <w:spacing w:lineRule="auto" w:line="360" w:before="113" w:after="227"/>
        <w:jc w:val="left"/>
        <w:rPr>
          <w:rFonts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le figure tutor e orientatore, in nome di presunte competenze, delegittimano il ruolo dei consigli di classe che risulterebbero esautorati dal compito di valutare l’andamento scolastico dei ragazzi, modularne i percorsi, valutarne le esperienza extracurriculari, promuovere le opportune esperienze calibrate sul singolo e la classe, combattere l'insuccesso scolastico, favorire l’accesso alle opportunità formative, promuovere la continuità con altri cicli di istruzione, ecc.;</w:t>
      </w:r>
    </w:p>
    <w:p>
      <w:pPr>
        <w:pStyle w:val="Normal"/>
        <w:keepNext w:val="false"/>
        <w:keepLines w:val="false"/>
        <w:widowControl w:val="false"/>
        <w:numPr>
          <w:ilvl w:val="0"/>
          <w:numId w:val="2"/>
        </w:numPr>
        <w:pBdr/>
        <w:shd w:fill="FFFFFF" w:val="clear"/>
        <w:tabs>
          <w:tab w:val="clear" w:pos="720"/>
          <w:tab w:val="left" w:pos="9300" w:leader="none"/>
        </w:tabs>
        <w:suppressAutoHyphens w:val="true"/>
        <w:bidi w:val="0"/>
        <w:spacing w:lineRule="auto" w:line="360" w:before="113" w:after="227"/>
        <w:jc w:val="left"/>
        <w:rPr>
          <w:rFonts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le figure di tutor e orientatore mutano, inoltre, notevolmente il ruolo dell'insegnante, trasformando i docenti in orientatori, certificatori di competenze, “psicologi”, valorizzatori, consiglieri alle famiglie, ecc.;</w:t>
      </w:r>
    </w:p>
    <w:p>
      <w:pPr>
        <w:pStyle w:val="Normal"/>
        <w:keepNext w:val="false"/>
        <w:keepLines w:val="false"/>
        <w:widowControl w:val="false"/>
        <w:numPr>
          <w:ilvl w:val="0"/>
          <w:numId w:val="2"/>
        </w:numPr>
        <w:pBdr/>
        <w:shd w:fill="FFFFFF" w:val="clear"/>
        <w:tabs>
          <w:tab w:val="clear" w:pos="720"/>
          <w:tab w:val="left" w:pos="9300" w:leader="none"/>
        </w:tabs>
        <w:suppressAutoHyphens w:val="true"/>
        <w:bidi w:val="0"/>
        <w:spacing w:lineRule="auto" w:line="360" w:before="113" w:after="227"/>
        <w:jc w:val="left"/>
        <w:rPr>
          <w:rFonts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 xml:space="preserve">le figure di tutor e orientatore, mutano il ruolo della scuola trasformandola sempre più in luogo di accudimento, baysitteraggio, con compiti deresponsabilizzanti sia verso le famiglie sia verso gli adolescenti, una scuola come servizio e non come istituzione volta all'istruzione e alla formazione culturale e sociale degli individui; </w:t>
      </w:r>
    </w:p>
    <w:p>
      <w:pPr>
        <w:pStyle w:val="Normal"/>
        <w:keepNext w:val="false"/>
        <w:keepLines w:val="false"/>
        <w:widowControl w:val="false"/>
        <w:numPr>
          <w:ilvl w:val="0"/>
          <w:numId w:val="2"/>
        </w:numPr>
        <w:pBdr/>
        <w:shd w:fill="FFFFFF" w:val="clear"/>
        <w:tabs>
          <w:tab w:val="clear" w:pos="720"/>
          <w:tab w:val="left" w:pos="9300" w:leader="none"/>
        </w:tabs>
        <w:suppressAutoHyphens w:val="true"/>
        <w:bidi w:val="0"/>
        <w:spacing w:lineRule="auto" w:line="360" w:before="113" w:after="227"/>
        <w:jc w:val="left"/>
        <w:rPr>
          <w:rFonts w:ascii="TestMeSerif02" w:hAnsi="TestMeSerif02"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infine, quello del docente tutor e del docente orientatore, sono incarichi sottopagati, come sempre nella scuola. Sono stati calcolati, infatti, 6-7 euro l'ora netti (il lavoro di tutor prevede la “cura” di 30/50 studenti), meno delle attività funzionali (che da FIS vengono pagate 17,50 €, già una miseria) fatto che svaluta ancora di più la nostra professionalità mostrando la considerazione che al Ministero hanno del nostro ruolo.</w:t>
      </w:r>
    </w:p>
    <w:p>
      <w:pPr>
        <w:pStyle w:val="Normal"/>
        <w:keepNext w:val="false"/>
        <w:keepLines w:val="false"/>
        <w:widowControl w:val="false"/>
        <w:pBdr/>
        <w:shd w:fill="FFFFFF" w:val="clear"/>
        <w:tabs>
          <w:tab w:val="clear" w:pos="720"/>
          <w:tab w:val="left" w:pos="9300" w:leader="none"/>
        </w:tabs>
        <w:suppressAutoHyphens w:val="true"/>
        <w:bidi w:val="0"/>
        <w:spacing w:lineRule="auto" w:line="360" w:before="567" w:after="227"/>
        <w:ind w:left="0" w:right="0" w:firstLine="227"/>
        <w:jc w:val="both"/>
        <w:rPr>
          <w:rFonts w:ascii="TestMeSerif02" w:hAnsi="TestMeSerif02"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Presenti: …................</w:t>
      </w:r>
    </w:p>
    <w:p>
      <w:pPr>
        <w:pStyle w:val="Normal"/>
        <w:keepNext w:val="false"/>
        <w:keepLines w:val="false"/>
        <w:widowControl w:val="false"/>
        <w:pBdr/>
        <w:shd w:fill="FFFFFF" w:val="clear"/>
        <w:tabs>
          <w:tab w:val="clear" w:pos="720"/>
          <w:tab w:val="left" w:pos="9300" w:leader="none"/>
        </w:tabs>
        <w:suppressAutoHyphens w:val="true"/>
        <w:bidi w:val="0"/>
        <w:spacing w:lineRule="auto" w:line="360" w:before="113" w:after="227"/>
        <w:ind w:left="0" w:right="0" w:firstLine="227"/>
        <w:jc w:val="both"/>
        <w:rPr>
          <w:rFonts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Astenuti: …................</w:t>
      </w:r>
    </w:p>
    <w:p>
      <w:pPr>
        <w:pStyle w:val="Normal"/>
        <w:keepNext w:val="false"/>
        <w:keepLines w:val="false"/>
        <w:widowControl w:val="false"/>
        <w:pBdr/>
        <w:shd w:fill="FFFFFF" w:val="clear"/>
        <w:tabs>
          <w:tab w:val="clear" w:pos="720"/>
          <w:tab w:val="left" w:pos="9300" w:leader="none"/>
        </w:tabs>
        <w:suppressAutoHyphens w:val="true"/>
        <w:bidi w:val="0"/>
        <w:spacing w:lineRule="auto" w:line="360" w:before="113" w:after="227"/>
        <w:ind w:left="0" w:right="0" w:firstLine="227"/>
        <w:jc w:val="both"/>
        <w:rPr>
          <w:rFonts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Favorevoli: .................</w:t>
      </w:r>
    </w:p>
    <w:p>
      <w:pPr>
        <w:pStyle w:val="Normal"/>
        <w:keepNext w:val="false"/>
        <w:keepLines w:val="false"/>
        <w:widowControl w:val="false"/>
        <w:pBdr/>
        <w:shd w:fill="FFFFFF" w:val="clear"/>
        <w:tabs>
          <w:tab w:val="clear" w:pos="720"/>
          <w:tab w:val="left" w:pos="9300" w:leader="none"/>
        </w:tabs>
        <w:suppressAutoHyphens w:val="true"/>
        <w:bidi w:val="0"/>
        <w:spacing w:lineRule="auto" w:line="360" w:before="113" w:after="227"/>
        <w:ind w:left="0" w:right="0" w:firstLine="227"/>
        <w:jc w:val="both"/>
        <w:rPr>
          <w:rFonts w:ascii="TestMeSerif02" w:hAnsi="TestMeSerif02"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Contrari: …................</w:t>
      </w:r>
    </w:p>
    <w:sectPr>
      <w:headerReference w:type="default" r:id="rId2"/>
      <w:footerReference w:type="default" r:id="rId3"/>
      <w:type w:val="nextPage"/>
      <w:pgSz w:w="11906" w:h="16838"/>
      <w:pgMar w:left="567" w:right="567" w:gutter="454" w:header="567" w:top="2434" w:footer="567" w:bottom="141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TestMeSerif02">
    <w:charset w:val="01"/>
    <w:family w:val="roman"/>
    <w:pitch w:val="default"/>
    <w:embedRegular r:id="rId13" w:fontKey="{0D014A78-CABC-4EF0-12AC-5CD89AEFDE0D}"/>
    <w:embedBold r:id="rId14" w:fontKey="{0E014A78-CABC-4EF0-12AC-5CD89AEFDE0E}"/>
  </w:font>
  <w:font w:name="Times New Roman">
    <w:charset w:val="8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Noto Sans Symbols">
    <w:charset w:val="80"/>
    <w:family w:val="swiss"/>
    <w:pitch w:val="default"/>
    <w:embedRegular r:id="rId15" w:fontKey="{0F014A78-CABC-4EF0-12AC-5CD89AEFDE0F}"/>
    <w:embedBold r:id="rId16" w:fontKey="{10014A78-CABC-4EF0-12AC-5CD89AEFDE10}"/>
  </w:font>
  <w:font w:name="OpenSymbol">
    <w:altName w:val="Arial Unicode MS"/>
    <w:charset w:val="02"/>
    <w:family w:val="auto"/>
    <w:pitch w:val="default"/>
    <w:embedRegular r:id="rId17" w:fontKey="{11014A78-CABC-4EF0-12AC-5CD89AEFDE11}"/>
  </w:font>
  <w:font w:name="Arial">
    <w:charset w:val="8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Georgia">
    <w:charset w:val="8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TestMeSerif02">
    <w:charset w:val="01"/>
    <w:family w:val="roman"/>
    <w:pitch w:val="variable"/>
    <w:embedRegular r:id="rId22" w:fontKey="{16014A78-CABC-4EF0-12AC-5CD89AEFDE16}"/>
    <w:embedBold r:id="rId23" w:fontKey="{17014A78-CABC-4EF0-12AC-5CD89AEFDE17}"/>
  </w:font>
  <w:font w:name="TestMeSans02">
    <w:charset w:val="01"/>
    <w:family w:val="swiss"/>
    <w:pitch w:val="variable"/>
    <w:embedBold r:id="rId24" w:fontKey="{18014A78-CABC-4EF0-12AC-5CD89AEFDE18}"/>
  </w:font>
  <w:font w:name="Symbol">
    <w:charset w:val="02"/>
    <w:family w:val="auto"/>
    <w:pitch w:val="default"/>
  </w:font>
  <w:font w:name="OpenSymbol">
    <w:altName w:val="Arial Unicode MS"/>
    <w:charset w:val="01"/>
    <w:family w:val="auto"/>
    <w:pitch w:val="default"/>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dipagina"/>
      <w:jc w:val="center"/>
      <w:rPr>
        <w:rFonts w:ascii="TestMeSans02" w:hAnsi="TestMeSans02"/>
      </w:rPr>
    </w:pPr>
    <w:r>
      <w:rPr>
        <w:rFonts w:ascii="TestMeSans02" w:hAnsi="TestMeSans02"/>
      </w:rPr>
      <w:t xml:space="preserve">Pagina </w:t>
    </w:r>
    <w:r>
      <w:rPr>
        <w:rFonts w:ascii="TestMeSans02" w:hAnsi="TestMeSans02"/>
      </w:rPr>
      <w:fldChar w:fldCharType="begin"/>
    </w:r>
    <w:r>
      <w:rPr>
        <w:rFonts w:ascii="TestMeSans02" w:hAnsi="TestMeSans02"/>
      </w:rPr>
      <w:instrText xml:space="preserve"> PAGE </w:instrText>
    </w:r>
    <w:r>
      <w:rPr>
        <w:rFonts w:ascii="TestMeSans02" w:hAnsi="TestMeSans02"/>
      </w:rPr>
      <w:fldChar w:fldCharType="separate"/>
    </w:r>
    <w:r>
      <w:rPr>
        <w:rFonts w:ascii="TestMeSans02" w:hAnsi="TestMeSans02"/>
      </w:rPr>
      <w:t>2</w:t>
    </w:r>
    <w:r>
      <w:rPr>
        <w:rFonts w:ascii="TestMeSans02" w:hAnsi="TestMeSans02"/>
      </w:rPr>
      <w:fldChar w:fldCharType="end"/>
    </w:r>
    <w:r>
      <w:rPr>
        <w:rFonts w:ascii="TestMeSans02" w:hAnsi="TestMeSans02"/>
      </w:rPr>
      <w:t xml:space="preserve"> </w:t>
    </w:r>
    <w:r>
      <w:rPr>
        <w:rFonts w:ascii="TestMeSans02" w:hAnsi="TestMeSans02"/>
      </w:rPr>
      <w:t xml:space="preserve">di </w:t>
    </w:r>
    <w:r>
      <w:rPr>
        <w:rFonts w:ascii="TestMeSans02" w:hAnsi="TestMeSans02"/>
      </w:rPr>
      <w:fldChar w:fldCharType="begin"/>
    </w:r>
    <w:r>
      <w:rPr>
        <w:rFonts w:ascii="TestMeSans02" w:hAnsi="TestMeSans02"/>
      </w:rPr>
      <w:instrText xml:space="preserve"> NUMPAGES </w:instrText>
    </w:r>
    <w:r>
      <w:rPr>
        <w:rFonts w:ascii="TestMeSans02" w:hAnsi="TestMeSans02"/>
      </w:rPr>
      <w:fldChar w:fldCharType="separate"/>
    </w:r>
    <w:r>
      <w:rPr>
        <w:rFonts w:ascii="TestMeSans02" w:hAnsi="TestMeSans02"/>
      </w:rPr>
      <w:t>2</w:t>
    </w:r>
    <w:r>
      <w:rPr>
        <w:rFonts w:ascii="TestMeSans02" w:hAnsi="TestMeSans02"/>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keepNext w:val="false"/>
      <w:keepLines w:val="false"/>
      <w:widowControl w:val="false"/>
      <w:pBdr/>
      <w:shd w:fill="FFFFFF" w:val="clear"/>
      <w:suppressAutoHyphens w:val="true"/>
      <w:bidi w:val="0"/>
      <w:spacing w:lineRule="auto" w:line="360" w:before="113" w:after="227"/>
      <w:ind w:left="0" w:right="0" w:hanging="0"/>
      <w:contextualSpacing/>
      <w:jc w:val="center"/>
      <w:rPr>
        <w:rFonts w:ascii="TestMeSerif02" w:hAnsi="TestMeSerif02"/>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MOZIONE DEL COLLEGIO DOCENTI DEL .</w:t>
    </w:r>
    <w:r>
      <w:rPr>
        <w:rFonts w:ascii="TestMeSerif02" w:hAnsi="TestMeSerif02"/>
        <w:sz w:val="24"/>
        <w:szCs w:val="24"/>
      </w:rPr>
      <w:t>..</w:t>
    </w:r>
  </w:p>
  <w:p>
    <w:pPr>
      <w:pStyle w:val="Normal"/>
      <w:keepNext w:val="false"/>
      <w:keepLines w:val="false"/>
      <w:widowControl w:val="false"/>
      <w:pBdr/>
      <w:shd w:fill="FFFFFF" w:val="clear"/>
      <w:suppressAutoHyphens w:val="true"/>
      <w:bidi w:val="0"/>
      <w:spacing w:lineRule="auto" w:line="360" w:before="113" w:after="227"/>
      <w:ind w:left="0" w:right="0" w:hanging="0"/>
      <w:jc w:val="center"/>
      <w:rPr>
        <w:rFonts w:ascii="TestMeSerif02" w:hAnsi="TestMeSerif02"/>
      </w:rPr>
    </w:pP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 xml:space="preserve">DEL </w:t>
    </w:r>
    <w:r>
      <w:rPr>
        <w:rFonts w:ascii="TestMeSerif02" w:hAnsi="TestMeSerif02"/>
        <w:sz w:val="24"/>
        <w:szCs w:val="24"/>
      </w:rPr>
      <w:t xml:space="preserve">… </w:t>
    </w:r>
    <w:r>
      <w:rPr>
        <w:rFonts w:eastAsia="Times New Roman" w:cs="Times New Roman" w:ascii="TestMeSerif02" w:hAnsi="TestMeSerif02"/>
        <w:b w:val="false"/>
        <w:i w:val="false"/>
        <w:caps w:val="false"/>
        <w:smallCaps w:val="false"/>
        <w:strike w:val="false"/>
        <w:dstrike w:val="false"/>
        <w:color w:val="000000"/>
        <w:position w:val="0"/>
        <w:sz w:val="24"/>
        <w:sz w:val="24"/>
        <w:szCs w:val="24"/>
        <w:u w:val="none"/>
        <w:vertAlign w:val="baseline"/>
      </w:rPr>
      <w:t>2023</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olo1"/>
      <w:numFmt w:val="none"/>
      <w:suff w:val="nothing"/>
      <w:lvlText w:val=""/>
      <w:lvlJc w:val="left"/>
      <w:pPr>
        <w:tabs>
          <w:tab w:val="num" w:pos="0"/>
        </w:tabs>
        <w:ind w:left="432" w:hanging="432"/>
      </w:pPr>
    </w:lvl>
    <w:lvl w:ilvl="1">
      <w:start w:val="1"/>
      <w:pStyle w:val="Titolo2"/>
      <w:numFmt w:val="none"/>
      <w:suff w:val="nothing"/>
      <w:lvlText w:val=""/>
      <w:lvlJc w:val="left"/>
      <w:pPr>
        <w:tabs>
          <w:tab w:val="num" w:pos="0"/>
        </w:tabs>
        <w:ind w:left="576" w:hanging="576"/>
      </w:pPr>
    </w:lvl>
    <w:lvl w:ilvl="2">
      <w:start w:val="1"/>
      <w:pStyle w:val="Titolo3"/>
      <w:numFmt w:val="none"/>
      <w:suff w:val="nothing"/>
      <w:lvlText w:val=""/>
      <w:lvlJc w:val="left"/>
      <w:pPr>
        <w:tabs>
          <w:tab w:val="num" w:pos="0"/>
        </w:tabs>
        <w:ind w:left="720" w:hanging="720"/>
      </w:pPr>
    </w:lvl>
    <w:lvl w:ilvl="3">
      <w:start w:val="1"/>
      <w:pStyle w:val="Titolo4"/>
      <w:numFmt w:val="none"/>
      <w:suff w:val="nothing"/>
      <w:lvlText w:val=""/>
      <w:lvlJc w:val="left"/>
      <w:pPr>
        <w:tabs>
          <w:tab w:val="num" w:pos="0"/>
        </w:tabs>
        <w:ind w:left="864" w:hanging="864"/>
      </w:pPr>
    </w:lvl>
    <w:lvl w:ilvl="4">
      <w:start w:val="1"/>
      <w:pStyle w:val="Titolo5"/>
      <w:numFmt w:val="none"/>
      <w:suff w:val="nothing"/>
      <w:lvlText w:val=""/>
      <w:lvlJc w:val="left"/>
      <w:pPr>
        <w:tabs>
          <w:tab w:val="num" w:pos="0"/>
        </w:tabs>
        <w:ind w:left="1008" w:hanging="1008"/>
      </w:pPr>
    </w:lvl>
    <w:lvl w:ilvl="5">
      <w:start w:val="1"/>
      <w:pStyle w:val="Titolo6"/>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bering>
</file>

<file path=word/settings.xml><?xml version="1.0" encoding="utf-8"?>
<w:settings xmlns:w="http://schemas.openxmlformats.org/wordprocessingml/2006/main">
  <w:zoom w:percent="180"/>
  <w:embedTrueTypeFonts/>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estMeSerif02" w:hAnsi="TestMeSerif02" w:eastAsia="Noto Serif CJK SC" w:cs="Noto Sans Devanagari"/>
        <w:sz w:val="24"/>
        <w:szCs w:val="24"/>
        <w:lang w:val="it-IT" w:eastAsia="zh-CN" w:bidi="hi-IN"/>
      </w:rPr>
    </w:rPrDefault>
    <w:pPrDefault>
      <w:pPr>
        <w:suppressAutoHyphens w:val="true"/>
      </w:pPr>
    </w:pPrDefault>
  </w:docDefaults>
  <w:style w:type="paragraph" w:styleId="Normal">
    <w:name w:val="Normal"/>
    <w:qFormat/>
    <w:pPr>
      <w:widowControl w:val="false"/>
      <w:suppressAutoHyphens w:val="true"/>
      <w:bidi w:val="0"/>
    </w:pPr>
    <w:rPr>
      <w:rFonts w:ascii="Times New Roman" w:hAnsi="Times New Roman" w:eastAsia="Arial Unicode MS" w:cs="Arial Unicode MS"/>
      <w:color w:val="auto"/>
      <w:sz w:val="20"/>
      <w:szCs w:val="20"/>
      <w:lang w:val="it-IT" w:eastAsia="zh-CN" w:bidi="hi-IN"/>
    </w:rPr>
  </w:style>
  <w:style w:type="paragraph" w:styleId="Titolo1">
    <w:name w:val="Heading 1"/>
    <w:basedOn w:val="Normal1"/>
    <w:next w:val="Corpodeltesto"/>
    <w:qFormat/>
    <w:pPr>
      <w:keepNext w:val="true"/>
      <w:keepLines/>
      <w:numPr>
        <w:ilvl w:val="0"/>
        <w:numId w:val="1"/>
      </w:numPr>
      <w:spacing w:lineRule="atLeast" w:line="100" w:before="480" w:after="120"/>
      <w:ind w:left="0" w:right="0" w:hanging="0"/>
      <w:outlineLvl w:val="0"/>
    </w:pPr>
    <w:rPr>
      <w:b/>
      <w:sz w:val="48"/>
      <w:szCs w:val="48"/>
    </w:rPr>
  </w:style>
  <w:style w:type="paragraph" w:styleId="Titolo2">
    <w:name w:val="Heading 2"/>
    <w:basedOn w:val="Normal1"/>
    <w:next w:val="Corpodeltesto"/>
    <w:qFormat/>
    <w:pPr>
      <w:keepNext w:val="true"/>
      <w:keepLines/>
      <w:numPr>
        <w:ilvl w:val="1"/>
        <w:numId w:val="1"/>
      </w:numPr>
      <w:spacing w:lineRule="atLeast" w:line="100" w:before="360" w:after="80"/>
      <w:ind w:left="0" w:right="0" w:hanging="0"/>
      <w:outlineLvl w:val="1"/>
    </w:pPr>
    <w:rPr>
      <w:b/>
      <w:sz w:val="36"/>
      <w:szCs w:val="36"/>
    </w:rPr>
  </w:style>
  <w:style w:type="paragraph" w:styleId="Titolo3">
    <w:name w:val="Heading 3"/>
    <w:basedOn w:val="Normal1"/>
    <w:next w:val="Corpodeltesto"/>
    <w:qFormat/>
    <w:pPr>
      <w:keepNext w:val="true"/>
      <w:keepLines/>
      <w:numPr>
        <w:ilvl w:val="2"/>
        <w:numId w:val="1"/>
      </w:numPr>
      <w:spacing w:lineRule="atLeast" w:line="100" w:before="280" w:after="80"/>
      <w:ind w:left="0" w:right="0" w:hanging="0"/>
      <w:outlineLvl w:val="2"/>
    </w:pPr>
    <w:rPr>
      <w:b/>
      <w:sz w:val="28"/>
      <w:szCs w:val="28"/>
    </w:rPr>
  </w:style>
  <w:style w:type="paragraph" w:styleId="Titolo4">
    <w:name w:val="Heading 4"/>
    <w:basedOn w:val="Normal1"/>
    <w:next w:val="Corpodeltesto"/>
    <w:qFormat/>
    <w:pPr>
      <w:keepNext w:val="true"/>
      <w:keepLines/>
      <w:numPr>
        <w:ilvl w:val="3"/>
        <w:numId w:val="1"/>
      </w:numPr>
      <w:spacing w:lineRule="atLeast" w:line="100" w:before="240" w:after="40"/>
      <w:ind w:left="0" w:right="0" w:hanging="0"/>
      <w:outlineLvl w:val="3"/>
    </w:pPr>
    <w:rPr>
      <w:b/>
      <w:sz w:val="24"/>
      <w:szCs w:val="24"/>
    </w:rPr>
  </w:style>
  <w:style w:type="paragraph" w:styleId="Titolo5">
    <w:name w:val="Heading 5"/>
    <w:basedOn w:val="Normal1"/>
    <w:next w:val="Corpodeltesto"/>
    <w:qFormat/>
    <w:pPr>
      <w:keepNext w:val="true"/>
      <w:keepLines/>
      <w:numPr>
        <w:ilvl w:val="4"/>
        <w:numId w:val="1"/>
      </w:numPr>
      <w:spacing w:lineRule="atLeast" w:line="100" w:before="220" w:after="40"/>
      <w:ind w:left="0" w:right="0" w:hanging="0"/>
      <w:outlineLvl w:val="4"/>
    </w:pPr>
    <w:rPr>
      <w:b/>
      <w:sz w:val="22"/>
      <w:szCs w:val="22"/>
    </w:rPr>
  </w:style>
  <w:style w:type="paragraph" w:styleId="Titolo6">
    <w:name w:val="Heading 6"/>
    <w:basedOn w:val="Normal1"/>
    <w:next w:val="Corpodeltesto"/>
    <w:qFormat/>
    <w:pPr>
      <w:keepNext w:val="true"/>
      <w:keepLines/>
      <w:numPr>
        <w:ilvl w:val="5"/>
        <w:numId w:val="1"/>
      </w:numPr>
      <w:spacing w:lineRule="atLeast" w:line="100" w:before="200" w:after="40"/>
      <w:ind w:left="0" w:right="0" w:hanging="0"/>
      <w:outlineLvl w:val="5"/>
    </w:pPr>
    <w:rPr>
      <w:b/>
      <w:sz w:val="20"/>
      <w:szCs w:val="20"/>
    </w:rPr>
  </w:style>
  <w:style w:type="character" w:styleId="WW8Num2z0">
    <w:name w:val="WW8Num2z0"/>
    <w:qFormat/>
    <w:rPr>
      <w:rFonts w:ascii="Noto Sans Symbols" w:hAnsi="Noto Sans Symbols" w:cs="Noto Sans Symbols"/>
      <w:position w:val="0"/>
      <w:sz w:val="20"/>
      <w:sz w:val="20"/>
      <w:vertAlign w:val="baseline"/>
    </w:rPr>
  </w:style>
  <w:style w:type="character" w:styleId="WW8Num1z0">
    <w:name w:val="WW8Num1z0"/>
    <w:qFormat/>
    <w:rPr>
      <w:rFonts w:ascii="Noto Sans Symbols" w:hAnsi="Noto Sans Symbols" w:cs="Noto Sans Symbols"/>
      <w:position w:val="0"/>
      <w:sz w:val="20"/>
      <w:sz w:val="20"/>
      <w:vertAlign w:val="baseline"/>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Punti">
    <w:name w:val="Punti"/>
    <w:qFormat/>
    <w:rPr>
      <w:rFonts w:ascii="OpenSymbol" w:hAnsi="OpenSymbol" w:eastAsia="OpenSymbol" w:cs="OpenSymbol"/>
    </w:rPr>
  </w:style>
  <w:style w:type="paragraph" w:styleId="Titolo">
    <w:name w:val="Titolo"/>
    <w:basedOn w:val="Normal1"/>
    <w:next w:val="Sottotitolo"/>
    <w:qFormat/>
    <w:pPr>
      <w:keepNext w:val="true"/>
      <w:keepLines/>
      <w:numPr>
        <w:ilvl w:val="0"/>
        <w:numId w:val="0"/>
      </w:numPr>
      <w:spacing w:lineRule="atLeast" w:line="100" w:before="480" w:after="120"/>
      <w:ind w:left="0" w:right="0" w:hanging="0"/>
      <w:jc w:val="left"/>
    </w:pPr>
    <w:rPr>
      <w:b/>
      <w:bCs/>
      <w:sz w:val="72"/>
      <w:szCs w:val="72"/>
    </w:rPr>
  </w:style>
  <w:style w:type="paragraph" w:styleId="Corpodeltesto">
    <w:name w:val="Body Text"/>
    <w:basedOn w:val="Normal"/>
    <w:pPr>
      <w:spacing w:before="0" w:after="120"/>
    </w:pPr>
    <w:rPr/>
  </w:style>
  <w:style w:type="paragraph" w:styleId="Elenco">
    <w:name w:val="List"/>
    <w:basedOn w:val="Corpodeltesto"/>
    <w:pPr/>
    <w:rPr/>
  </w:style>
  <w:style w:type="paragraph" w:styleId="Didascalia">
    <w:name w:val="Caption"/>
    <w:basedOn w:val="Normal"/>
    <w:qFormat/>
    <w:pPr>
      <w:suppressLineNumbers/>
      <w:spacing w:before="120" w:after="120"/>
    </w:pPr>
    <w:rPr>
      <w:i/>
      <w:iCs/>
      <w:sz w:val="24"/>
      <w:szCs w:val="24"/>
    </w:rPr>
  </w:style>
  <w:style w:type="paragraph" w:styleId="Indice">
    <w:name w:val="Indice"/>
    <w:basedOn w:val="Normal"/>
    <w:qFormat/>
    <w:pPr>
      <w:suppressLineNumbers/>
    </w:pPr>
    <w:rPr/>
  </w:style>
  <w:style w:type="paragraph" w:styleId="Normal1">
    <w:name w:val="LO-normal"/>
    <w:qFormat/>
    <w:pPr>
      <w:widowControl/>
      <w:numPr>
        <w:ilvl w:val="0"/>
        <w:numId w:val="0"/>
      </w:numPr>
      <w:suppressAutoHyphens w:val="true"/>
      <w:bidi w:val="0"/>
      <w:ind w:left="0" w:right="0" w:hanging="0"/>
    </w:pPr>
    <w:rPr>
      <w:rFonts w:ascii="Times New Roman" w:hAnsi="Times New Roman" w:eastAsia="Arial Unicode MS" w:cs="Arial Unicode MS"/>
      <w:color w:val="auto"/>
      <w:sz w:val="20"/>
      <w:szCs w:val="20"/>
      <w:lang w:val="it-IT" w:eastAsia="zh-CN" w:bidi="hi-IN"/>
    </w:rPr>
  </w:style>
  <w:style w:type="paragraph" w:styleId="Intestazioneepidipagina">
    <w:name w:val="Intestazione e piè di pagina"/>
    <w:basedOn w:val="Normal"/>
    <w:qFormat/>
    <w:pPr>
      <w:suppressLineNumbers/>
      <w:tabs>
        <w:tab w:val="clear" w:pos="720"/>
        <w:tab w:val="center" w:pos="4819" w:leader="none"/>
        <w:tab w:val="right" w:pos="9638" w:leader="none"/>
      </w:tabs>
    </w:pPr>
    <w:rPr/>
  </w:style>
  <w:style w:type="paragraph" w:styleId="Intestazione">
    <w:name w:val="Header"/>
    <w:basedOn w:val="Normal"/>
    <w:next w:val="Corpodeltesto"/>
    <w:pPr>
      <w:keepNext w:val="true"/>
      <w:spacing w:before="240" w:after="120"/>
    </w:pPr>
    <w:rPr>
      <w:rFonts w:ascii="Arial" w:hAnsi="Arial" w:eastAsia="Arial Unicode MS" w:cs="Arial Unicode MS"/>
      <w:sz w:val="28"/>
      <w:szCs w:val="28"/>
    </w:rPr>
  </w:style>
  <w:style w:type="paragraph" w:styleId="Sottotitolo">
    <w:name w:val="Subtitle"/>
    <w:basedOn w:val="Normal1"/>
    <w:next w:val="Corpodeltesto"/>
    <w:qFormat/>
    <w:pPr>
      <w:keepNext w:val="true"/>
      <w:keepLines/>
      <w:numPr>
        <w:ilvl w:val="0"/>
        <w:numId w:val="0"/>
      </w:numPr>
      <w:spacing w:lineRule="atLeast" w:line="100" w:before="360" w:after="80"/>
      <w:ind w:left="0" w:right="0" w:hanging="0"/>
      <w:jc w:val="left"/>
    </w:pPr>
    <w:rPr>
      <w:rFonts w:ascii="Georgia" w:hAnsi="Georgia" w:eastAsia="Georgia" w:cs="Georgia"/>
      <w:i/>
      <w:iCs/>
      <w:color w:val="666666"/>
      <w:sz w:val="48"/>
      <w:szCs w:val="48"/>
    </w:rPr>
  </w:style>
  <w:style w:type="paragraph" w:styleId="Pidipagina">
    <w:name w:val="Footer"/>
    <w:basedOn w:val="Intestazioneepidipagina"/>
    <w:pPr>
      <w:suppressLineNumbers/>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docProps/app.xml><?xml version="1.0" encoding="utf-8"?>
<Properties xmlns="http://schemas.openxmlformats.org/officeDocument/2006/extended-properties" xmlns:vt="http://schemas.openxmlformats.org/officeDocument/2006/docPropsVTypes">
  <Template/>
  <TotalTime>34460</TotalTime>
  <Application>LibreOffice/7.4.6.2$Linux_X86_64 LibreOffice_project/5b1f5509c2decdade7fda905e3e1429a67acd63d</Application>
  <AppVersion>15.0000</AppVersion>
  <Pages>2</Pages>
  <Words>446</Words>
  <Characters>2661</Characters>
  <CharactersWithSpaces>3082</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Gianluca Maestra</cp:lastModifiedBy>
  <dcterms:modified xsi:type="dcterms:W3CDTF">2023-04-18T08:32:50Z</dcterms:modified>
  <cp:revision>3</cp:revision>
  <dc:subject/>
  <dc:title/>
</cp:coreProperties>
</file>