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346" w:type="dxa"/>
        <w:jc w:val="left"/>
        <w:tblInd w:w="54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436"/>
        <w:gridCol w:w="5910"/>
      </w:tblGrid>
      <w:tr>
        <w:tblPrEx>
          <w:shd w:val="clear" w:color="auto" w:fill="auto"/>
        </w:tblPrEx>
        <w:trPr>
          <w:trHeight w:val="1774" w:hRule="atLeast"/>
        </w:trPr>
        <w:tc>
          <w:tcPr>
            <w:tcW w:type="dxa" w:w="3436"/>
            <w:tcBorders>
              <w:top w:val="nil"/>
              <w:left w:val="nil"/>
              <w:bottom w:val="nil"/>
              <w:right w:val="nil"/>
            </w:tcBorders>
            <w:shd w:val="clear" w:color="auto" w:fill="auto"/>
            <w:tcMar>
              <w:top w:type="dxa" w:w="80"/>
              <w:left w:type="dxa" w:w="80"/>
              <w:bottom w:type="dxa" w:w="80"/>
              <w:right w:type="dxa" w:w="80"/>
            </w:tcMar>
            <w:vAlign w:val="top"/>
          </w:tcPr>
          <w:p>
            <w:pPr>
              <w:pStyle w:val="Corpo B"/>
              <w:jc w:val="cente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mc:AlternateContent>
                <mc:Choice Requires="wpg">
                  <w:drawing>
                    <wp:inline distT="0" distB="0" distL="0" distR="0">
                      <wp:extent cx="1929703" cy="1092733"/>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929703" cy="1092733"/>
                                <a:chOff x="-1" y="-1"/>
                                <a:chExt cx="1929702" cy="1092732"/>
                              </a:xfrm>
                            </wpg:grpSpPr>
                            <wps:wsp>
                              <wps:cNvPr id="1073741825" name="Shape 1073741825"/>
                              <wps:cNvSpPr/>
                              <wps:spPr>
                                <a:xfrm>
                                  <a:off x="-2" y="1"/>
                                  <a:ext cx="1929698" cy="1092728"/>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pic:nvPicPr>
                              <pic:blipFill>
                                <a:blip r:embed="rId4">
                                  <a:extLst/>
                                </a:blip>
                                <a:stretch>
                                  <a:fillRect/>
                                </a:stretch>
                              </pic:blipFill>
                              <pic:spPr>
                                <a:xfrm>
                                  <a:off x="1" y="-2"/>
                                  <a:ext cx="1929701" cy="1092734"/>
                                </a:xfrm>
                                <a:prstGeom prst="rect">
                                  <a:avLst/>
                                </a:prstGeom>
                                <a:ln w="12700" cap="flat">
                                  <a:noFill/>
                                  <a:miter lim="400000"/>
                                </a:ln>
                                <a:effectLst/>
                              </pic:spPr>
                            </pic:pic>
                          </wpg:wgp>
                        </a:graphicData>
                      </a:graphic>
                    </wp:inline>
                  </w:drawing>
                </mc:Choice>
                <mc:Fallback>
                  <w:pict>
                    <v:group id="_x0000_s1026" style="visibility:visible;width:151.9pt;height:86.0pt;" coordorigin="-1,-1" coordsize="1929702,1092732">
                      <v:rect id="_x0000_s1027" style="position:absolute;left:-1;top:2;width:1929697;height:1092726;">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1;width:1929700;height:1092732;">
                        <v:imagedata r:id="rId4" o:title="image1.jpeg"/>
                      </v:shape>
                    </v:group>
                  </w:pict>
                </mc:Fallback>
              </mc:AlternateContent>
            </w:r>
          </w:p>
        </w:tc>
        <w:tc>
          <w:tcPr>
            <w:tcW w:type="dxa" w:w="5910"/>
            <w:tcBorders>
              <w:top w:val="nil"/>
              <w:left w:val="nil"/>
              <w:bottom w:val="nil"/>
              <w:right w:val="nil"/>
            </w:tcBorders>
            <w:shd w:val="clear" w:color="auto" w:fill="auto"/>
            <w:tcMar>
              <w:top w:type="dxa" w:w="80"/>
              <w:left w:type="dxa" w:w="656"/>
              <w:bottom w:type="dxa" w:w="80"/>
              <w:right w:type="dxa" w:w="80"/>
            </w:tcMar>
            <w:vAlign w:val="top"/>
          </w:tcPr>
          <w:p>
            <w:pPr>
              <w:pStyle w:val="Corpo A"/>
              <w:keepNext w:val="1"/>
              <w:suppressAutoHyphens w:val="1"/>
              <w:spacing w:after="0" w:line="240" w:lineRule="auto"/>
              <w:ind w:left="576" w:hanging="576"/>
              <w:jc w:val="center"/>
              <w:outlineLvl w:val="1"/>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it-IT"/>
              </w:rPr>
            </w:pPr>
            <w:r>
              <w:rPr>
                <w:rFonts w:ascii="Times New Roman"/>
                <w:caps w:val="0"/>
                <w:smallCaps w:val="0"/>
                <w:strike w:val="0"/>
                <w:dstrike w:val="0"/>
                <w:outline w:val="0"/>
                <w:color w:val="000000"/>
                <w:spacing w:val="0"/>
                <w:kern w:val="0"/>
                <w:position w:val="0"/>
                <w:sz w:val="24"/>
                <w:szCs w:val="24"/>
                <w:u w:val="none" w:color="000000"/>
                <w:vertAlign w:val="baseline"/>
                <w:rtl w:val="0"/>
                <w:lang w:val="it-IT"/>
              </w:rPr>
              <w:t>COBAS - Comitati di Base della Scuola - Veneto</w:t>
            </w:r>
          </w:p>
          <w:p>
            <w:pPr>
              <w:pStyle w:val="Corpo B"/>
              <w:jc w:val="cente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it-IT"/>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it-IT"/>
              </w:rPr>
              <w:t>Viale Cavallotti 2, PD -  tel. 049692171 / fax 0498824373</w:t>
            </w:r>
          </w:p>
          <w:p>
            <w:pPr>
              <w:pStyle w:val="Corpo B"/>
              <w:jc w:val="cente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it-IT"/>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it-IT"/>
              </w:rPr>
              <w:t>sito: www.cesp-pd.it/cobascuolapd.html</w:t>
            </w:r>
          </w:p>
          <w:p>
            <w:pPr>
              <w:pStyle w:val="Corpo B"/>
              <w:jc w:val="cente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fr-FR"/>
              </w:rPr>
              <w:t xml:space="preserve">mail: </w:t>
            </w:r>
            <w:hyperlink r:id="rId5" w:history="1">
              <w:r>
                <w:rPr>
                  <w:rStyle w:val="Hyperlink.0"/>
                  <w:rFonts w:ascii="Calibri" w:cs="Calibri" w:hAnsi="Calibri" w:eastAsia="Calibri"/>
                  <w:b w:val="1"/>
                  <w:bCs w:val="1"/>
                  <w:caps w:val="0"/>
                  <w:smallCaps w:val="0"/>
                  <w:strike w:val="0"/>
                  <w:dstrike w:val="0"/>
                  <w:outline w:val="0"/>
                  <w:color w:val="0000ff"/>
                  <w:spacing w:val="0"/>
                  <w:kern w:val="0"/>
                  <w:position w:val="0"/>
                  <w:sz w:val="24"/>
                  <w:szCs w:val="24"/>
                  <w:u w:val="single" w:color="0000ff"/>
                  <w:vertAlign w:val="baseline"/>
                  <w:rtl w:val="0"/>
                  <w:lang w:val="fr-FR"/>
                </w:rPr>
                <w:t>perunaretediscuole@katamail.com</w:t>
              </w:r>
            </w:hyperlink>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fr-FR"/>
              </w:rPr>
              <w:br w:type="textWrapping"/>
              <w:t> </w:t>
            </w: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fr-FR"/>
              </w:rPr>
              <w:t>pec: perunaretediscuole@pec.it</w:t>
            </w:r>
          </w:p>
        </w:tc>
      </w:tr>
    </w:tbl>
    <w:p>
      <w:pPr>
        <w:pStyle w:val="Corpo"/>
        <w:ind w:left="432" w:hanging="432"/>
      </w:pPr>
    </w:p>
    <w:p>
      <w:pPr>
        <w:pStyle w:val="Corpo C"/>
        <w:ind w:left="324" w:hanging="324"/>
      </w:pPr>
    </w:p>
    <w:p>
      <w:pPr>
        <w:pStyle w:val="Corpo C A"/>
        <w:ind w:left="216" w:hanging="216"/>
      </w:pPr>
    </w:p>
    <w:p>
      <w:pPr>
        <w:pStyle w:val="Corpo B"/>
        <w:spacing w:after="80"/>
        <w:jc w:val="both"/>
      </w:pPr>
    </w:p>
    <w:p>
      <w:pPr>
        <w:pStyle w:val="Corpo B"/>
        <w:spacing w:after="80"/>
        <w:jc w:val="both"/>
      </w:pPr>
    </w:p>
    <w:p>
      <w:pPr>
        <w:pStyle w:val="Corpo B"/>
        <w:spacing w:after="80"/>
        <w:jc w:val="both"/>
        <w:rPr>
          <w:rFonts w:ascii="Times New Roman Bold" w:cs="Times New Roman Bold" w:hAnsi="Times New Roman Bold" w:eastAsia="Times New Roman Bold"/>
          <w:sz w:val="60"/>
          <w:szCs w:val="60"/>
        </w:rPr>
      </w:pPr>
      <w:r>
        <w:rPr>
          <w:rFonts w:ascii="Times New Roman Bold"/>
          <w:sz w:val="60"/>
          <w:szCs w:val="60"/>
          <w:rtl w:val="0"/>
          <w:lang w:val="it-IT"/>
        </w:rPr>
        <w:t>FORMAZIONE DEI DOCENTI: non c</w:t>
      </w:r>
      <w:r>
        <w:rPr>
          <w:rFonts w:hAnsi="Times New Roman Bold" w:hint="default"/>
          <w:sz w:val="60"/>
          <w:szCs w:val="60"/>
          <w:rtl w:val="0"/>
          <w:lang w:val="it-IT"/>
        </w:rPr>
        <w:t xml:space="preserve">’è </w:t>
      </w:r>
      <w:r>
        <w:rPr>
          <w:rFonts w:ascii="Times New Roman Bold"/>
          <w:sz w:val="60"/>
          <w:szCs w:val="60"/>
          <w:rtl w:val="0"/>
          <w:lang w:val="it-IT"/>
        </w:rPr>
        <w:t>alcun tetto di ore obbligatorie</w:t>
      </w:r>
    </w:p>
    <w:p>
      <w:pPr>
        <w:pStyle w:val="Corpo B"/>
        <w:spacing w:after="80"/>
        <w:jc w:val="both"/>
        <w:rPr>
          <w:sz w:val="22"/>
          <w:szCs w:val="22"/>
          <w:rtl w:val="0"/>
        </w:rPr>
      </w:pPr>
    </w:p>
    <w:p>
      <w:pPr>
        <w:pStyle w:val="Corpo B"/>
        <w:spacing w:after="80"/>
        <w:jc w:val="both"/>
        <w:rPr>
          <w:sz w:val="22"/>
          <w:szCs w:val="22"/>
          <w:rtl w:val="0"/>
        </w:rPr>
      </w:pPr>
    </w:p>
    <w:p>
      <w:pPr>
        <w:pStyle w:val="Corpo B"/>
        <w:spacing w:after="80"/>
        <w:jc w:val="both"/>
        <w:rPr>
          <w:rFonts w:ascii="Verdana" w:cs="Verdana" w:hAnsi="Verdana" w:eastAsia="Verdana"/>
        </w:rPr>
      </w:pPr>
      <w:r>
        <w:rPr>
          <w:rFonts w:ascii="Verdana"/>
          <w:sz w:val="22"/>
          <w:szCs w:val="22"/>
          <w:rtl w:val="0"/>
          <w:lang w:val="it-IT"/>
        </w:rPr>
        <w:t xml:space="preserve">   </w:t>
      </w:r>
      <w:r>
        <w:rPr>
          <w:rFonts w:ascii="Verdana"/>
          <w:sz w:val="24"/>
          <w:szCs w:val="24"/>
          <w:rtl w:val="0"/>
          <w:lang w:val="it-IT"/>
        </w:rPr>
        <w:t xml:space="preserve">La Legge 107/15 (la cosiddetta </w:t>
      </w:r>
      <w:r>
        <w:rPr>
          <w:rFonts w:ascii="Verdana"/>
          <w:i w:val="1"/>
          <w:iCs w:val="1"/>
          <w:rtl w:val="0"/>
          <w:lang w:val="it-IT"/>
        </w:rPr>
        <w:t>buona scuola</w:t>
      </w:r>
      <w:r>
        <w:rPr>
          <w:rFonts w:ascii="Verdana"/>
          <w:sz w:val="24"/>
          <w:szCs w:val="24"/>
          <w:rtl w:val="0"/>
          <w:lang w:val="it-IT"/>
        </w:rPr>
        <w:t>) comma 124 definisce la formazione dei docenti di ruolo permanente, strutturale e obbligatoria, ma non definisce alcun tetto di ore.</w:t>
      </w:r>
    </w:p>
    <w:p>
      <w:pPr>
        <w:pStyle w:val="Corpo B"/>
        <w:spacing w:after="80"/>
        <w:jc w:val="both"/>
        <w:rPr>
          <w:rFonts w:ascii="Verdana" w:cs="Verdana" w:hAnsi="Verdana" w:eastAsia="Verdana"/>
        </w:rPr>
      </w:pPr>
      <w:r>
        <w:rPr>
          <w:rFonts w:ascii="Verdana"/>
          <w:rtl w:val="0"/>
          <w:lang w:val="it-IT"/>
        </w:rPr>
        <w:t xml:space="preserve">   </w:t>
      </w:r>
      <w:r>
        <w:rPr>
          <w:rFonts w:ascii="Verdana"/>
          <w:sz w:val="24"/>
          <w:szCs w:val="24"/>
          <w:rtl w:val="0"/>
          <w:lang w:val="it-IT"/>
        </w:rPr>
        <w:t>Anzi la nota del MIUR del 15 settembre 2016 intitolata "Prime indicazioni per la progettazione delle attivit</w:t>
      </w:r>
      <w:r>
        <w:rPr>
          <w:rFonts w:hAnsi="Verdana" w:hint="default"/>
          <w:sz w:val="24"/>
          <w:szCs w:val="24"/>
          <w:rtl w:val="0"/>
          <w:lang w:val="it-IT"/>
        </w:rPr>
        <w:t xml:space="preserve">à </w:t>
      </w:r>
      <w:r>
        <w:rPr>
          <w:rFonts w:ascii="Verdana"/>
          <w:sz w:val="24"/>
          <w:szCs w:val="24"/>
          <w:rtl w:val="0"/>
          <w:lang w:val="it-IT"/>
        </w:rPr>
        <w:t>di formazione destinate al personale scolastico</w:t>
      </w:r>
      <w:r>
        <w:rPr>
          <w:rFonts w:hAnsi="Verdana" w:hint="default"/>
          <w:sz w:val="24"/>
          <w:szCs w:val="24"/>
          <w:rtl w:val="0"/>
          <w:lang w:val="it-IT"/>
        </w:rPr>
        <w:t xml:space="preserve">” </w:t>
      </w:r>
      <w:r>
        <w:rPr>
          <w:rFonts w:ascii="Verdana"/>
          <w:sz w:val="24"/>
          <w:szCs w:val="24"/>
          <w:rtl w:val="0"/>
          <w:lang w:val="it-IT"/>
        </w:rPr>
        <w:t>dice esplicitamente: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both"/>
        <w:rPr>
          <w:rFonts w:ascii="Verdana" w:cs="Verdana" w:hAnsi="Verdana" w:eastAsia="Verdana"/>
          <w:sz w:val="20"/>
          <w:szCs w:val="20"/>
          <w:rtl w:val="0"/>
        </w:rPr>
      </w:pPr>
      <w:r>
        <w:rPr>
          <w:rFonts w:hAnsi="Verdana" w:hint="default"/>
          <w:i w:val="1"/>
          <w:iCs w:val="1"/>
          <w:sz w:val="20"/>
          <w:szCs w:val="20"/>
          <w:rtl w:val="0"/>
          <w:lang w:val="it-IT"/>
        </w:rPr>
        <w:t>“</w:t>
      </w:r>
      <w:r>
        <w:rPr>
          <w:rFonts w:ascii="Verdana"/>
          <w:i w:val="1"/>
          <w:iCs w:val="1"/>
          <w:sz w:val="20"/>
          <w:szCs w:val="20"/>
          <w:rtl w:val="0"/>
          <w:lang w:val="it-IT"/>
        </w:rPr>
        <w:t>Le azioni formative per gli insegnanti di ogni istituto sono inserite nel Piano Triennale dell'Offerta formativa, in coerenza con le scelte dci Collegio Docenti che lo elabora sulla base degli indirizzi del dirigente scolastico. L'obbligatoriet</w:t>
      </w:r>
      <w:r>
        <w:rPr>
          <w:rFonts w:hAnsi="Verdana" w:hint="default"/>
          <w:i w:val="1"/>
          <w:iCs w:val="1"/>
          <w:sz w:val="20"/>
          <w:szCs w:val="20"/>
          <w:rtl w:val="0"/>
          <w:lang w:val="fr-FR"/>
        </w:rPr>
        <w:t xml:space="preserve">à </w:t>
      </w:r>
      <w:r>
        <w:rPr>
          <w:rFonts w:ascii="Verdana"/>
          <w:i w:val="1"/>
          <w:iCs w:val="1"/>
          <w:sz w:val="20"/>
          <w:szCs w:val="20"/>
          <w:rtl w:val="0"/>
          <w:lang w:val="it-IT"/>
        </w:rPr>
        <w:t>non si traduce, quindi, automaticamente in un numero di ore da svolgere ogni anno, ma nel rispetto del contenuto del piano</w:t>
      </w:r>
      <w:r>
        <w:rPr>
          <w:rFonts w:hAnsi="Verdana" w:hint="default"/>
          <w:i w:val="1"/>
          <w:iCs w:val="1"/>
          <w:sz w:val="20"/>
          <w:szCs w:val="20"/>
          <w:rtl w:val="0"/>
          <w:lang w:val="it-IT"/>
        </w:rPr>
        <w:t>”</w:t>
      </w:r>
      <w:r>
        <w:rPr>
          <w:rFonts w:ascii="Verdana"/>
          <w:i w:val="1"/>
          <w:iCs w:val="1"/>
          <w:sz w:val="20"/>
          <w:szCs w:val="20"/>
          <w:rtl w:val="0"/>
          <w:lang w:val="it-IT"/>
        </w:rPr>
        <w:t>.</w:t>
      </w:r>
    </w:p>
    <w:p>
      <w:pPr>
        <w:pStyle w:val="Corpo B"/>
        <w:spacing w:after="80"/>
        <w:jc w:val="both"/>
        <w:rPr>
          <w:rFonts w:ascii="Verdana" w:cs="Verdana" w:hAnsi="Verdana" w:eastAsia="Verdana"/>
        </w:rPr>
      </w:pPr>
      <w:r>
        <w:rPr>
          <w:rFonts w:ascii="Verdana"/>
          <w:sz w:val="20"/>
          <w:szCs w:val="20"/>
          <w:rtl w:val="0"/>
          <w:lang w:val="it-IT"/>
        </w:rPr>
        <w:t xml:space="preserve">   </w:t>
      </w:r>
      <w:r>
        <w:rPr>
          <w:rFonts w:ascii="Verdana"/>
          <w:sz w:val="24"/>
          <w:szCs w:val="24"/>
          <w:rtl w:val="0"/>
          <w:lang w:val="it-IT"/>
        </w:rPr>
        <w:t>Nel "Piano Nazionale della Formazione" recentemente emanato dal MIUR mancano ancora le modalit</w:t>
      </w:r>
      <w:r>
        <w:rPr>
          <w:rFonts w:hAnsi="Verdana" w:hint="default"/>
          <w:sz w:val="24"/>
          <w:szCs w:val="24"/>
          <w:rtl w:val="0"/>
          <w:lang w:val="it-IT"/>
        </w:rPr>
        <w:t xml:space="preserve">à </w:t>
      </w:r>
      <w:r>
        <w:rPr>
          <w:rFonts w:ascii="Verdana"/>
          <w:sz w:val="24"/>
          <w:szCs w:val="24"/>
          <w:rtl w:val="0"/>
          <w:lang w:val="it-IT"/>
        </w:rPr>
        <w:t>di attuazione in termini di quantificazione temporale delle unit</w:t>
      </w:r>
      <w:r>
        <w:rPr>
          <w:rFonts w:hAnsi="Verdana" w:hint="default"/>
          <w:sz w:val="24"/>
          <w:szCs w:val="24"/>
          <w:rtl w:val="0"/>
          <w:lang w:val="it-IT"/>
        </w:rPr>
        <w:t xml:space="preserve">à </w:t>
      </w:r>
      <w:r>
        <w:rPr>
          <w:rFonts w:ascii="Verdana"/>
          <w:sz w:val="24"/>
          <w:szCs w:val="24"/>
          <w:rtl w:val="0"/>
          <w:lang w:val="it-IT"/>
        </w:rPr>
        <w:t>di formazione.</w:t>
      </w:r>
    </w:p>
    <w:p>
      <w:pPr>
        <w:pStyle w:val="Corpo B"/>
        <w:spacing w:after="80"/>
        <w:jc w:val="both"/>
        <w:rPr>
          <w:rFonts w:ascii="Verdana" w:cs="Verdana" w:hAnsi="Verdana" w:eastAsia="Verdana"/>
        </w:rPr>
      </w:pPr>
      <w:r>
        <w:rPr>
          <w:rFonts w:ascii="Verdana"/>
          <w:rtl w:val="0"/>
          <w:lang w:val="it-IT"/>
        </w:rPr>
        <w:t xml:space="preserve">   </w:t>
      </w:r>
      <w:r>
        <w:rPr>
          <w:rFonts w:ascii="Verdana"/>
          <w:sz w:val="24"/>
          <w:szCs w:val="24"/>
          <w:rtl w:val="0"/>
          <w:lang w:val="it-IT"/>
        </w:rPr>
        <w:t>Il CCNL Scuola 2006-2009 non prevede l'obbligatoriet</w:t>
      </w:r>
      <w:r>
        <w:rPr>
          <w:rFonts w:hAnsi="Verdana" w:hint="default"/>
          <w:sz w:val="24"/>
          <w:szCs w:val="24"/>
          <w:rtl w:val="0"/>
          <w:lang w:val="it-IT"/>
        </w:rPr>
        <w:t xml:space="preserve">à </w:t>
      </w:r>
      <w:r>
        <w:rPr>
          <w:rFonts w:ascii="Verdana"/>
          <w:sz w:val="24"/>
          <w:szCs w:val="24"/>
          <w:rtl w:val="0"/>
          <w:lang w:val="it-IT"/>
        </w:rPr>
        <w:t>della formazione per i docenti limitandosi a definire come diritto-dovere la formazione degli insegnanti</w:t>
      </w:r>
      <w:r>
        <w:rPr>
          <w:rFonts w:ascii="Verdana"/>
          <w:sz w:val="24"/>
          <w:szCs w:val="24"/>
          <w:rtl w:val="0"/>
          <w:lang w:val="it-IT"/>
        </w:rPr>
        <w:t>,</w:t>
      </w:r>
      <w:r>
        <w:rPr>
          <w:rFonts w:ascii="Verdana"/>
          <w:sz w:val="24"/>
          <w:szCs w:val="24"/>
          <w:rtl w:val="0"/>
          <w:lang w:val="it-IT"/>
        </w:rPr>
        <w:t xml:space="preserve"> senza formalizzare quantitativamente e qualitativamente tale onere.</w:t>
      </w:r>
    </w:p>
    <w:p>
      <w:pPr>
        <w:pStyle w:val="Corpo B"/>
        <w:spacing w:after="80"/>
        <w:jc w:val="both"/>
        <w:rPr>
          <w:rFonts w:ascii="Verdana" w:cs="Verdana" w:hAnsi="Verdana" w:eastAsia="Verdana"/>
        </w:rPr>
      </w:pPr>
      <w:r>
        <w:rPr>
          <w:rFonts w:ascii="Verdana"/>
          <w:rtl w:val="0"/>
          <w:lang w:val="it-IT"/>
        </w:rPr>
        <w:t xml:space="preserve">   </w:t>
      </w:r>
      <w:r>
        <w:rPr>
          <w:rFonts w:ascii="Verdana"/>
          <w:sz w:val="24"/>
          <w:szCs w:val="24"/>
          <w:rtl w:val="0"/>
          <w:lang w:val="it-IT"/>
        </w:rPr>
        <w:t>Pertanto la formazione del personale docente, nel rispetto del vigente CCNL, deve essere collocata all'interno delle 40 ore funzionali all'insegnamento (art.29 lettera a).</w:t>
      </w:r>
    </w:p>
    <w:p>
      <w:pPr>
        <w:pStyle w:val="Corpo B"/>
        <w:spacing w:after="80"/>
        <w:jc w:val="both"/>
        <w:rPr>
          <w:rFonts w:ascii="Verdana Bold" w:cs="Verdana Bold" w:hAnsi="Verdana Bold" w:eastAsia="Verdana Bold"/>
        </w:rPr>
      </w:pPr>
      <w:r>
        <w:rPr>
          <w:rFonts w:ascii="Verdana"/>
          <w:sz w:val="24"/>
          <w:szCs w:val="24"/>
          <w:rtl w:val="0"/>
          <w:lang w:val="it-IT"/>
        </w:rPr>
        <w:t xml:space="preserve">   Le 125 ore nel triennio</w:t>
      </w:r>
      <w:r>
        <w:rPr>
          <w:rFonts w:ascii="Verdana"/>
          <w:sz w:val="24"/>
          <w:szCs w:val="24"/>
          <w:rtl w:val="0"/>
          <w:lang w:val="it-IT"/>
        </w:rPr>
        <w:t>,</w:t>
      </w:r>
      <w:r>
        <w:rPr>
          <w:rFonts w:ascii="Verdana"/>
          <w:sz w:val="24"/>
          <w:szCs w:val="24"/>
          <w:rtl w:val="0"/>
          <w:lang w:val="it-IT"/>
        </w:rPr>
        <w:t xml:space="preserve"> di cui si parla ad esempio nella relazione tecnica allegata alla legge 107 e nel </w:t>
      </w:r>
      <w:r>
        <w:rPr>
          <w:rFonts w:hAnsi="Verdana" w:hint="default"/>
          <w:sz w:val="24"/>
          <w:szCs w:val="24"/>
          <w:rtl w:val="0"/>
          <w:lang w:val="it-IT"/>
        </w:rPr>
        <w:t>“</w:t>
      </w:r>
      <w:r>
        <w:rPr>
          <w:rFonts w:ascii="Verdana"/>
          <w:sz w:val="24"/>
          <w:szCs w:val="24"/>
          <w:rtl w:val="0"/>
          <w:lang w:val="it-IT"/>
        </w:rPr>
        <w:t>Piano Nazionale della Formazione</w:t>
      </w:r>
      <w:r>
        <w:rPr>
          <w:rFonts w:hAnsi="Verdana" w:hint="default"/>
          <w:sz w:val="24"/>
          <w:szCs w:val="24"/>
          <w:rtl w:val="0"/>
          <w:lang w:val="it-IT"/>
        </w:rPr>
        <w:t>”</w:t>
      </w:r>
      <w:r>
        <w:rPr>
          <w:rFonts w:ascii="Verdana"/>
          <w:sz w:val="24"/>
          <w:szCs w:val="24"/>
          <w:rtl w:val="0"/>
          <w:lang w:val="it-IT"/>
        </w:rPr>
        <w:t>,</w:t>
      </w:r>
      <w:r>
        <w:rPr>
          <w:rFonts w:ascii="Verdana"/>
          <w:sz w:val="24"/>
          <w:szCs w:val="24"/>
          <w:rtl w:val="0"/>
          <w:lang w:val="it-IT"/>
        </w:rPr>
        <w:t xml:space="preserve"> quindi sono solo propositi del Miur, ma non hanno valenza normativa; in pratica </w:t>
      </w:r>
      <w:r>
        <w:rPr>
          <w:rFonts w:ascii="Verdana Bold"/>
          <w:sz w:val="24"/>
          <w:szCs w:val="24"/>
          <w:rtl w:val="0"/>
          <w:lang w:val="it-IT"/>
        </w:rPr>
        <w:t>non possono aumentare il nostro orario di lavoro e senza alcun riconoscimento economico, indipendentemente dal Contratto di Lavoro.</w:t>
      </w:r>
    </w:p>
    <w:p>
      <w:pPr>
        <w:pStyle w:val="Corpo B"/>
        <w:spacing w:after="80"/>
        <w:jc w:val="both"/>
        <w:rPr>
          <w:rFonts w:ascii="Verdana Bold" w:cs="Verdana Bold" w:hAnsi="Verdana Bold" w:eastAsia="Verdana Bold"/>
        </w:rPr>
      </w:pPr>
    </w:p>
    <w:p>
      <w:pPr>
        <w:pStyle w:val="Corpo B"/>
        <w:spacing w:after="80"/>
        <w:jc w:val="both"/>
      </w:pPr>
      <w:r>
        <w:rPr>
          <w:rFonts w:ascii="Verdana Bold"/>
          <w:rtl w:val="0"/>
          <w:lang w:val="it-IT"/>
        </w:rPr>
        <w:t>Venezia, 2 novembre 2016</w:t>
      </w:r>
    </w:p>
    <w:sectPr>
      <w:headerReference w:type="default" r:id="rId6"/>
      <w:footerReference w:type="default" r:id="rId7"/>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New Roman Bold">
    <w:charset w:val="00"/>
    <w:family w:val="roman"/>
    <w:pitch w:val="default"/>
  </w:font>
  <w:font w:name="Verdana">
    <w:charset w:val="00"/>
    <w:family w:val="roman"/>
    <w:pitch w:val="default"/>
  </w:font>
  <w:font w:name="Verdan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w:name w:val="Corpo"/>
    <w:next w:val="Corpo"/>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Corpo B">
    <w:name w:val="Corpo B"/>
    <w:next w:val="Corpo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Corpo A">
    <w:name w:val="Corpo A"/>
    <w:next w:val="Corpo A"/>
    <w:pPr>
      <w:keepNext w:val="0"/>
      <w:keepLines w:val="0"/>
      <w:pageBreakBefore w:val="0"/>
      <w:widowControl w:val="1"/>
      <w:pBdr>
        <w:top w:val="nil"/>
        <w:left w:val="nil"/>
        <w:bottom w:val="nil"/>
        <w:right w:val="nil"/>
      </w:pBdr>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essuno">
    <w:name w:val="Nessuno"/>
  </w:style>
  <w:style w:type="character" w:styleId="Hyperlink.0">
    <w:name w:val="Hyperlink.0"/>
    <w:basedOn w:val="Nessuno"/>
    <w:next w:val="Hyperlink.0"/>
    <w:rPr>
      <w:rFonts w:ascii="Calibri" w:cs="Calibri" w:hAnsi="Calibri" w:eastAsia="Calibri"/>
      <w:b w:val="1"/>
      <w:bCs w:val="1"/>
      <w:caps w:val="0"/>
      <w:smallCaps w:val="0"/>
      <w:strike w:val="0"/>
      <w:dstrike w:val="0"/>
      <w:outline w:val="0"/>
      <w:color w:val="0000ff"/>
      <w:spacing w:val="0"/>
      <w:kern w:val="0"/>
      <w:position w:val="0"/>
      <w:sz w:val="24"/>
      <w:szCs w:val="24"/>
      <w:u w:val="single" w:color="0000ff"/>
      <w:vertAlign w:val="baseline"/>
      <w:lang w:val="fr-FR"/>
    </w:rPr>
  </w:style>
  <w:style w:type="paragraph" w:styleId="Corpo C">
    <w:name w:val="Corpo C"/>
    <w:next w:val="Corpo C"/>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Corpo C A">
    <w:name w:val="Corpo C A"/>
    <w:next w:val="Corpo C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i default">
    <w:name w:val="Di default"/>
    <w:next w:val="Di 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perunaretediscuole@katamai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